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6C1" w:rsidRDefault="00573A29">
      <w:pPr>
        <w:pStyle w:val="Textbody"/>
        <w:spacing w:line="460" w:lineRule="exact"/>
        <w:rPr>
          <w:rFonts w:ascii="Times New Roman" w:eastAsia="標楷體" w:hAnsi="Times New Roman" w:cs="Times New Roman"/>
          <w:color w:val="000000"/>
          <w:sz w:val="40"/>
          <w:szCs w:val="40"/>
        </w:rPr>
      </w:pPr>
      <w:bookmarkStart w:id="0" w:name="_GoBack"/>
      <w:bookmarkEnd w:id="0"/>
      <w:r>
        <w:rPr>
          <w:rFonts w:ascii="Times New Roman" w:eastAsia="標楷體" w:hAnsi="Times New Roman" w:cs="Times New Roman"/>
          <w:color w:val="000000"/>
          <w:sz w:val="40"/>
          <w:szCs w:val="40"/>
        </w:rPr>
        <w:t>強化與東協及南亞國家合作交流計畫申請及經費使用原則第四點修正規定</w:t>
      </w:r>
    </w:p>
    <w:p w:rsidR="000376C1" w:rsidRDefault="000376C1">
      <w:pPr>
        <w:pStyle w:val="Textbody"/>
        <w:spacing w:line="460" w:lineRule="exact"/>
        <w:jc w:val="center"/>
        <w:rPr>
          <w:rFonts w:ascii="Times New Roman" w:eastAsia="標楷體" w:hAnsi="Times New Roman" w:cs="Times New Roman"/>
          <w:sz w:val="32"/>
          <w:szCs w:val="32"/>
        </w:rPr>
      </w:pPr>
    </w:p>
    <w:p w:rsidR="000376C1" w:rsidRDefault="00573A29">
      <w:pPr>
        <w:pStyle w:val="a6"/>
        <w:spacing w:line="460" w:lineRule="exact"/>
        <w:ind w:left="0"/>
        <w:rPr>
          <w:rFonts w:eastAsia="標楷體"/>
          <w:color w:val="000000"/>
          <w:sz w:val="28"/>
          <w:szCs w:val="28"/>
          <w:lang w:eastAsia="zh-HK"/>
        </w:rPr>
      </w:pPr>
      <w:r>
        <w:rPr>
          <w:rFonts w:eastAsia="標楷體"/>
          <w:color w:val="000000"/>
          <w:sz w:val="28"/>
          <w:szCs w:val="28"/>
          <w:lang w:eastAsia="zh-HK"/>
        </w:rPr>
        <w:t>四、學校申請項目及補助原則：</w:t>
      </w:r>
    </w:p>
    <w:p w:rsidR="000376C1" w:rsidRDefault="00573A29">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拓點行銷</w:t>
      </w:r>
    </w:p>
    <w:p w:rsidR="000376C1" w:rsidRDefault="00573A29">
      <w:pPr>
        <w:pStyle w:val="Textbody"/>
        <w:snapToGrid w:val="0"/>
        <w:spacing w:line="460" w:lineRule="exact"/>
        <w:ind w:firstLine="708"/>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補助學校拍攝行銷影片，鼓勵外籍學生來臺就讀。</w:t>
      </w:r>
    </w:p>
    <w:p w:rsidR="000376C1" w:rsidRDefault="00573A29">
      <w:pPr>
        <w:pStyle w:val="Textbody"/>
        <w:snapToGrid w:val="0"/>
        <w:spacing w:line="460" w:lineRule="exact"/>
        <w:ind w:left="991"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學校應提出預計招生人數作為預期績效，並作為結報時檢核指標。</w:t>
      </w:r>
    </w:p>
    <w:p w:rsidR="000376C1" w:rsidRDefault="00573A29">
      <w:pPr>
        <w:pStyle w:val="Textbody"/>
        <w:snapToGrid w:val="0"/>
        <w:spacing w:line="460" w:lineRule="exact"/>
        <w:ind w:left="989"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補助每校影片累計達三分鐘，須有三種以上新南向國家語言版本，每支影片須達三十秒，並置於</w:t>
      </w:r>
      <w:r>
        <w:rPr>
          <w:rFonts w:ascii="標楷體" w:eastAsia="標楷體" w:hAnsi="標楷體"/>
          <w:sz w:val="28"/>
          <w:szCs w:val="28"/>
        </w:rPr>
        <w:t>FB</w:t>
      </w:r>
      <w:r>
        <w:rPr>
          <w:rFonts w:ascii="標楷體" w:eastAsia="標楷體" w:hAnsi="標楷體"/>
          <w:sz w:val="28"/>
          <w:szCs w:val="28"/>
        </w:rPr>
        <w:t>、</w:t>
      </w:r>
      <w:r>
        <w:rPr>
          <w:rFonts w:ascii="標楷體" w:eastAsia="標楷體" w:hAnsi="標楷體"/>
          <w:sz w:val="28"/>
          <w:szCs w:val="28"/>
        </w:rPr>
        <w:t>IG</w:t>
      </w:r>
      <w:r>
        <w:rPr>
          <w:rFonts w:ascii="標楷體" w:eastAsia="標楷體" w:hAnsi="標楷體"/>
          <w:sz w:val="28"/>
          <w:szCs w:val="28"/>
        </w:rPr>
        <w:t>、</w:t>
      </w:r>
      <w:r>
        <w:rPr>
          <w:rFonts w:ascii="標楷體" w:eastAsia="標楷體" w:hAnsi="標楷體"/>
          <w:sz w:val="28"/>
          <w:szCs w:val="28"/>
        </w:rPr>
        <w:t>Youtube</w:t>
      </w:r>
      <w:r>
        <w:rPr>
          <w:rFonts w:ascii="標楷體" w:eastAsia="標楷體" w:hAnsi="標楷體"/>
          <w:sz w:val="28"/>
          <w:szCs w:val="28"/>
        </w:rPr>
        <w:t>或</w:t>
      </w:r>
      <w:r>
        <w:rPr>
          <w:rFonts w:ascii="標楷體" w:eastAsia="標楷體" w:hAnsi="標楷體"/>
          <w:sz w:val="28"/>
          <w:szCs w:val="28"/>
        </w:rPr>
        <w:t>Twitter</w:t>
      </w:r>
      <w:r>
        <w:rPr>
          <w:rFonts w:ascii="標楷體" w:eastAsia="標楷體" w:hAnsi="標楷體"/>
          <w:sz w:val="28"/>
          <w:szCs w:val="28"/>
        </w:rPr>
        <w:t>等平臺播放。</w:t>
      </w:r>
    </w:p>
    <w:p w:rsidR="000376C1" w:rsidRDefault="00573A29">
      <w:pPr>
        <w:pStyle w:val="Textbody"/>
        <w:snapToGrid w:val="0"/>
        <w:spacing w:line="460" w:lineRule="exact"/>
        <w:ind w:firstLine="708"/>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每校至多補助新臺幣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w:t>
      </w:r>
      <w:r>
        <w:rPr>
          <w:rFonts w:ascii="標楷體" w:eastAsia="標楷體" w:hAnsi="標楷體"/>
          <w:sz w:val="28"/>
          <w:szCs w:val="28"/>
        </w:rPr>
        <w:t>五十萬元。</w:t>
      </w:r>
    </w:p>
    <w:p w:rsidR="000376C1" w:rsidRDefault="00573A29">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假日學校</w:t>
      </w:r>
    </w:p>
    <w:p w:rsidR="000376C1" w:rsidRDefault="00573A29">
      <w:pPr>
        <w:pStyle w:val="Textbody"/>
        <w:snapToGrid w:val="0"/>
        <w:spacing w:line="460" w:lineRule="exact"/>
        <w:ind w:left="99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參加對象為新南向國家高級中等以上學校教職員生及政府官員等，且不得為在臺之境外學生身分。</w:t>
      </w:r>
    </w:p>
    <w:p w:rsidR="000376C1" w:rsidRDefault="00573A29">
      <w:pPr>
        <w:pStyle w:val="Textbody"/>
        <w:snapToGrid w:val="0"/>
        <w:spacing w:line="460" w:lineRule="exact"/>
        <w:ind w:left="99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課程採線上方式辦理，總時數為五十小時，一班以三十人為原則。</w:t>
      </w:r>
    </w:p>
    <w:p w:rsidR="000376C1" w:rsidRDefault="00573A29">
      <w:pPr>
        <w:pStyle w:val="Textbody"/>
        <w:snapToGrid w:val="0"/>
        <w:spacing w:line="460" w:lineRule="exact"/>
        <w:ind w:firstLine="708"/>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一班補助新臺幣十萬元為則。每校至多補助三班。</w:t>
      </w:r>
    </w:p>
    <w:p w:rsidR="000376C1" w:rsidRDefault="00573A29">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東南亞語課程方案</w:t>
      </w:r>
    </w:p>
    <w:p w:rsidR="000376C1" w:rsidRDefault="00573A29">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補助學校規劃開設當年度之新南向國家語言課程，每門課程以補助十萬元為原則；學校亦得規劃辦理跨校課程，並由主辦學校申請補助經費，每門跨校課程以補助五十萬元為原則。</w:t>
      </w:r>
    </w:p>
    <w:p w:rsidR="000376C1" w:rsidRDefault="00573A29">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為推廣東南亞語言，必要時本部得專案補助學校或研究機構開設東南亞語課程及相關事宜。</w:t>
      </w:r>
    </w:p>
    <w:p w:rsidR="000376C1" w:rsidRDefault="00573A29">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學術活動</w:t>
      </w:r>
    </w:p>
    <w:p w:rsidR="000376C1" w:rsidRDefault="00573A29">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學校與新南向國家合作辦理學術會議、研討會、論壇及工作坊等學術活動。</w:t>
      </w:r>
    </w:p>
    <w:p w:rsidR="000376C1" w:rsidRDefault="00573A29">
      <w:pPr>
        <w:pStyle w:val="Textbody"/>
        <w:snapToGrid w:val="0"/>
        <w:spacing w:line="460" w:lineRule="exact"/>
        <w:ind w:firstLine="6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學校得跨校整合辦理學術交流，並由主政學校申請補助經費。</w:t>
      </w:r>
    </w:p>
    <w:p w:rsidR="000376C1" w:rsidRDefault="00573A29">
      <w:pPr>
        <w:pStyle w:val="Textbody"/>
        <w:snapToGrid w:val="0"/>
        <w:spacing w:line="460" w:lineRule="exact"/>
        <w:ind w:left="850" w:hanging="14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採線上同步方式辦理，每場補助三十萬元。每校補助五場為限。</w:t>
      </w:r>
    </w:p>
    <w:p w:rsidR="000376C1" w:rsidRDefault="00573A29">
      <w:pPr>
        <w:pStyle w:val="Textbody"/>
        <w:snapToGrid w:val="0"/>
        <w:spacing w:line="460" w:lineRule="exact"/>
        <w:ind w:firstLine="283"/>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ab/>
      </w:r>
      <w:r>
        <w:rPr>
          <w:rFonts w:ascii="標楷體" w:eastAsia="標楷體" w:hAnsi="標楷體"/>
          <w:sz w:val="28"/>
          <w:szCs w:val="28"/>
        </w:rPr>
        <w:t>研發菁英人才專班：</w:t>
      </w:r>
    </w:p>
    <w:p w:rsidR="000376C1" w:rsidRDefault="00573A29">
      <w:pPr>
        <w:pStyle w:val="Textbody"/>
        <w:snapToGrid w:val="0"/>
        <w:spacing w:line="460" w:lineRule="exact"/>
        <w:ind w:left="964" w:hanging="283"/>
        <w:jc w:val="both"/>
        <w:rPr>
          <w:rFonts w:ascii="標楷體" w:eastAsia="標楷體" w:hAnsi="標楷體"/>
          <w:sz w:val="28"/>
          <w:szCs w:val="28"/>
        </w:rPr>
      </w:pPr>
      <w:r>
        <w:rPr>
          <w:rFonts w:ascii="標楷體" w:eastAsia="標楷體" w:hAnsi="標楷體"/>
          <w:sz w:val="28"/>
          <w:szCs w:val="28"/>
        </w:rPr>
        <w:lastRenderedPageBreak/>
        <w:t>1.</w:t>
      </w:r>
      <w:r>
        <w:rPr>
          <w:rFonts w:ascii="標楷體" w:eastAsia="標楷體" w:hAnsi="標楷體"/>
          <w:sz w:val="28"/>
          <w:szCs w:val="28"/>
        </w:rPr>
        <w:t>各校針對我國或新南向</w:t>
      </w:r>
      <w:r>
        <w:rPr>
          <w:rFonts w:ascii="標楷體" w:eastAsia="標楷體" w:hAnsi="標楷體"/>
          <w:sz w:val="28"/>
          <w:szCs w:val="28"/>
        </w:rPr>
        <w:t>國家重點產業所需之人才開設碩士或博士學位班，或採與當地國頂尖產學研究機構共同培育方式開設雙聯學位班。</w:t>
      </w:r>
    </w:p>
    <w:p w:rsidR="000376C1" w:rsidRDefault="00573A29">
      <w:pPr>
        <w:pStyle w:val="Textbody"/>
        <w:snapToGrid w:val="0"/>
        <w:spacing w:line="460" w:lineRule="exact"/>
        <w:ind w:left="907"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該班別應有我國或當地國或地區企業共同參與培育，參與之企業應提供人才培育占補助計畫經費至少百分之二十之計畫配合款，並提供學生赴產業參與研發工作。</w:t>
      </w:r>
    </w:p>
    <w:p w:rsidR="000376C1" w:rsidRDefault="00573A29">
      <w:pPr>
        <w:pStyle w:val="Textbody"/>
        <w:snapToGrid w:val="0"/>
        <w:spacing w:line="460" w:lineRule="exact"/>
        <w:ind w:firstLine="624"/>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應規劃學生畢業後於我國或當地國之就業輔導計畫。</w:t>
      </w:r>
    </w:p>
    <w:p w:rsidR="000376C1" w:rsidRDefault="00573A29">
      <w:pPr>
        <w:pStyle w:val="Textbody"/>
        <w:snapToGrid w:val="0"/>
        <w:spacing w:line="460" w:lineRule="exact"/>
        <w:ind w:left="907" w:hanging="283"/>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碩士班補助以一期二年為原則，博士班補助以一期三年為原則，本部得視辦理成效延長。</w:t>
      </w:r>
    </w:p>
    <w:p w:rsidR="000376C1" w:rsidRDefault="00573A29">
      <w:pPr>
        <w:pStyle w:val="Textbody"/>
        <w:snapToGrid w:val="0"/>
        <w:spacing w:line="460" w:lineRule="exact"/>
        <w:ind w:left="907" w:hanging="283"/>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補助經費：碩士階段學位班或雙聯學位班者，每班人數以十五人為原則，每班每年定額補助一百萬元。博士階段學位班或雙聯學位班者，每班人數以十人為原則，每班每年定額補助二百萬元。</w:t>
      </w:r>
    </w:p>
    <w:sectPr w:rsidR="000376C1">
      <w:footerReference w:type="default" r:id="rId6"/>
      <w:pgSz w:w="11906" w:h="16838"/>
      <w:pgMar w:top="720" w:right="1418" w:bottom="1843" w:left="1843" w:header="720" w:footer="1417"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A29" w:rsidRDefault="00573A29">
      <w:r>
        <w:separator/>
      </w:r>
    </w:p>
  </w:endnote>
  <w:endnote w:type="continuationSeparator" w:id="0">
    <w:p w:rsidR="00573A29" w:rsidRDefault="0057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EB" w:rsidRDefault="00573A29">
    <w:pPr>
      <w:pStyle w:val="a8"/>
      <w:jc w:val="center"/>
    </w:pPr>
    <w:r>
      <w:fldChar w:fldCharType="begin"/>
    </w:r>
    <w:r>
      <w:instrText xml:space="preserve"> PAGE </w:instrText>
    </w:r>
    <w:r>
      <w:fldChar w:fldCharType="separate"/>
    </w:r>
    <w:r w:rsidR="0000045F">
      <w:rPr>
        <w:noProof/>
      </w:rPr>
      <w:t>2</w:t>
    </w:r>
    <w:r>
      <w:fldChar w:fldCharType="end"/>
    </w:r>
  </w:p>
  <w:p w:rsidR="00FF28EB" w:rsidRDefault="00573A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A29" w:rsidRDefault="00573A29">
      <w:r>
        <w:rPr>
          <w:color w:val="000000"/>
        </w:rPr>
        <w:separator/>
      </w:r>
    </w:p>
  </w:footnote>
  <w:footnote w:type="continuationSeparator" w:id="0">
    <w:p w:rsidR="00573A29" w:rsidRDefault="00573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376C1"/>
    <w:rsid w:val="0000045F"/>
    <w:rsid w:val="000376C1"/>
    <w:rsid w:val="00573A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F335-8B28-418E-B807-7C7260A4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Calibri" w:eastAsia="Calibri" w:hAnsi="Calibri" w:cs="Tahoma"/>
      <w:kern w:val="3"/>
      <w:sz w:val="24"/>
      <w:szCs w:val="22"/>
    </w:rPr>
  </w:style>
  <w:style w:type="paragraph" w:customStyle="1" w:styleId="Heading">
    <w:name w:val="Heading"/>
    <w:basedOn w:val="Textbody"/>
    <w:next w:val="a3"/>
    <w:pPr>
      <w:keepNext/>
      <w:spacing w:before="240" w:after="120"/>
    </w:pPr>
    <w:rPr>
      <w:rFonts w:ascii="Liberation Sans" w:eastAsia="微軟正黑體" w:hAnsi="Liberation Sans" w:cs="Mangal"/>
      <w:sz w:val="28"/>
      <w:szCs w:val="28"/>
    </w:rPr>
  </w:style>
  <w:style w:type="paragraph" w:styleId="a3">
    <w:name w:val="Body Text"/>
    <w:basedOn w:val="Textbody"/>
    <w:pPr>
      <w:spacing w:after="140" w:line="276" w:lineRule="auto"/>
    </w:pPr>
  </w:style>
  <w:style w:type="paragraph" w:styleId="a4">
    <w:name w:val="List"/>
    <w:basedOn w:val="a3"/>
    <w:rPr>
      <w:rFonts w:cs="Mangal"/>
    </w:rPr>
  </w:style>
  <w:style w:type="paragraph" w:styleId="a5">
    <w:name w:val="caption"/>
    <w:basedOn w:val="Textbody"/>
    <w:pPr>
      <w:suppressLineNumbers/>
      <w:spacing w:before="120" w:after="120"/>
    </w:pPr>
    <w:rPr>
      <w:rFonts w:cs="Mangal"/>
      <w:i/>
      <w:iCs/>
      <w:szCs w:val="24"/>
    </w:rPr>
  </w:style>
  <w:style w:type="paragraph" w:customStyle="1" w:styleId="Index">
    <w:name w:val="Index"/>
    <w:basedOn w:val="Textbody"/>
    <w:pPr>
      <w:suppressLineNumbers/>
    </w:pPr>
    <w:rPr>
      <w:rFonts w:cs="Mangal"/>
    </w:rPr>
  </w:style>
  <w:style w:type="paragraph" w:styleId="a6">
    <w:name w:val="List Paragraph"/>
    <w:basedOn w:val="Textbody"/>
    <w:pPr>
      <w:ind w:left="480"/>
    </w:pPr>
    <w:rPr>
      <w:rFonts w:ascii="Times New Roman" w:eastAsia="Times New Roman" w:hAnsi="Times New Roman" w:cs="Times New Roman"/>
      <w:szCs w:val="24"/>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Web">
    <w:name w:val="Normal (Web)"/>
    <w:basedOn w:val="Textbody"/>
    <w:pPr>
      <w:widowControl/>
      <w:spacing w:before="280" w:after="280"/>
    </w:pPr>
    <w:rPr>
      <w:rFonts w:ascii="新細明體" w:eastAsia="新細明體" w:hAnsi="新細明體" w:cs="新細明體"/>
      <w:kern w:val="0"/>
      <w:szCs w:val="24"/>
    </w:rPr>
  </w:style>
  <w:style w:type="paragraph" w:styleId="a9">
    <w:name w:val="Balloon Text"/>
    <w:basedOn w:val="Textbody"/>
    <w:rPr>
      <w:rFonts w:ascii="Calibri Light" w:eastAsia="Calibri Light" w:hAnsi="Calibri Light" w:cs="Times New Roman"/>
      <w:sz w:val="18"/>
      <w:szCs w:val="18"/>
    </w:rPr>
  </w:style>
  <w:style w:type="paragraph" w:customStyle="1" w:styleId="TableContents">
    <w:name w:val="Table Contents"/>
    <w:basedOn w:val="Textbody"/>
    <w:pPr>
      <w:suppressLineNumbers/>
    </w:pPr>
  </w:style>
  <w:style w:type="character" w:customStyle="1" w:styleId="aa">
    <w:name w:val="頁首 字元"/>
    <w:rPr>
      <w:sz w:val="20"/>
      <w:szCs w:val="20"/>
    </w:rPr>
  </w:style>
  <w:style w:type="character" w:customStyle="1" w:styleId="ab">
    <w:name w:val="頁尾 字元"/>
    <w:rPr>
      <w:sz w:val="20"/>
      <w:szCs w:val="20"/>
    </w:rPr>
  </w:style>
  <w:style w:type="character" w:customStyle="1" w:styleId="ac">
    <w:name w:val="註解方塊文字 字元"/>
    <w:rPr>
      <w:rFonts w:ascii="Calibri Light" w:eastAsia="新細明體" w:hAnsi="Calibri Light" w:cs="Tahoma"/>
      <w:sz w:val="18"/>
      <w:szCs w:val="18"/>
    </w:rPr>
  </w:style>
  <w:style w:type="character" w:customStyle="1" w:styleId="ListLabel1">
    <w:name w:val="ListLabel 1"/>
    <w:rPr>
      <w:lang w:val="en-US"/>
    </w:rPr>
  </w:style>
  <w:style w:type="character" w:customStyle="1" w:styleId="ListLabel2">
    <w:name w:val="ListLabel 2"/>
    <w:rPr>
      <w:lang w:val="en-US"/>
    </w:rPr>
  </w:style>
  <w:style w:type="character" w:customStyle="1" w:styleId="ListLabel3">
    <w:name w:val="ListLabel 3"/>
    <w:rPr>
      <w:rFonts w:eastAsia="標楷體" w:cs="Times New Roman"/>
    </w:rPr>
  </w:style>
  <w:style w:type="character" w:customStyle="1" w:styleId="ListLabel4">
    <w:name w:val="ListLabel 4"/>
    <w:rPr>
      <w:rFonts w:eastAsia="標楷體" w:cs="Times New Roman"/>
    </w:rPr>
  </w:style>
  <w:style w:type="character" w:customStyle="1" w:styleId="ad">
    <w:name w:val="清單段落 字元"/>
    <w:rPr>
      <w:kern w:val="3"/>
      <w:sz w:val="24"/>
      <w:szCs w:val="24"/>
    </w:rPr>
  </w:style>
  <w:style w:type="character" w:customStyle="1" w:styleId="1">
    <w:name w:val="註解方塊文字 字元1"/>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1407;&#22987;&#27284;/1100506v2-&#20462;&#27491;&#26781;&#25991;-&#24375;&#21270;&#33287;&#26481;&#21332;&#21450;&#21335;&#20126;&#22283;&#23478;&#21512;&#20316;&#20132;&#27969;&#35336;&#30059;&#30003;&#35531;&#21450;&#32147;&#36027;&#20351;&#29992;&#21407;&#21063;.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曾新元</dc:creator>
  <cp:lastModifiedBy>Chia-Hui Lin</cp:lastModifiedBy>
  <cp:revision>2</cp:revision>
  <cp:lastPrinted>2021-04-23T08:03:00Z</cp:lastPrinted>
  <dcterms:created xsi:type="dcterms:W3CDTF">2021-05-24T01:53:00Z</dcterms:created>
  <dcterms:modified xsi:type="dcterms:W3CDTF">2021-05-24T01:53:00Z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